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60B" w:rsidRDefault="00CC2654">
      <w:pPr>
        <w:pStyle w:val="O-BodyText"/>
        <w:spacing w:after="120"/>
        <w:jc w:val="right"/>
      </w:pPr>
      <w:bookmarkStart w:id="0" w:name="_GoBack"/>
      <w:bookmarkEnd w:id="0"/>
      <w:r>
        <w:rPr>
          <w:noProof/>
        </w:rPr>
        <w:drawing>
          <wp:inline distT="0" distB="0" distL="0" distR="0" wp14:anchorId="0C8B40CB" wp14:editId="55416D88">
            <wp:extent cx="1252330" cy="704088"/>
            <wp:effectExtent l="0" t="0" r="5080" b="127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B5460B" w:rsidRDefault="00CC2654">
      <w:pPr>
        <w:spacing w:after="80"/>
        <w:rPr>
          <w:rFonts w:ascii="Arial" w:hAnsi="Arial" w:cs="Arial"/>
          <w:b/>
          <w:sz w:val="18"/>
          <w:szCs w:val="18"/>
        </w:rPr>
      </w:pPr>
      <w:r>
        <w:rPr>
          <w:rFonts w:ascii="Arial" w:hAnsi="Arial" w:cs="Arial"/>
          <w:b/>
          <w:sz w:val="18"/>
          <w:szCs w:val="18"/>
        </w:rPr>
        <w:t>Terms &amp; Conditions</w:t>
      </w:r>
    </w:p>
    <w:p w:rsidR="00B5460B" w:rsidRDefault="00CC2654">
      <w:pPr>
        <w:spacing w:after="120"/>
        <w:rPr>
          <w:rFonts w:ascii="Arial" w:hAnsi="Arial" w:cs="Arial"/>
          <w:sz w:val="18"/>
          <w:szCs w:val="18"/>
        </w:rPr>
      </w:pPr>
      <w:r>
        <w:rPr>
          <w:rFonts w:ascii="Arial" w:hAnsi="Arial" w:cs="Arial"/>
          <w:sz w:val="18"/>
          <w:szCs w:val="18"/>
        </w:rPr>
        <w:t xml:space="preserve">Please read the following carefully. The terms on this page (“Additional Terms”) supplement the orrick.com </w:t>
      </w:r>
      <w:hyperlink r:id="rId9" w:history="1">
        <w:r>
          <w:rPr>
            <w:rStyle w:val="Hyperlink"/>
            <w:rFonts w:ascii="Arial" w:hAnsi="Arial" w:cs="Arial"/>
            <w:sz w:val="18"/>
            <w:szCs w:val="18"/>
          </w:rPr>
          <w:t>Terms of Use Agreement</w:t>
        </w:r>
      </w:hyperlink>
      <w:r>
        <w:rPr>
          <w:rFonts w:ascii="Arial" w:hAnsi="Arial" w:cs="Arial"/>
          <w:sz w:val="18"/>
          <w:szCs w:val="18"/>
        </w:rPr>
        <w:t>, which is hereby incorporated by reference. These Additional Terms, along with the Terms of Use Agreement, govern your use of the Orrick Start-Up Forms through Stripe Atlas. By using the Orrick Start-Up Forms through Stripe Atlas, you agree to the following:</w:t>
      </w:r>
    </w:p>
    <w:p w:rsidR="00B5460B" w:rsidRDefault="00CC2654">
      <w:pPr>
        <w:spacing w:after="80"/>
        <w:rPr>
          <w:rFonts w:ascii="Arial" w:hAnsi="Arial" w:cs="Arial"/>
          <w:b/>
          <w:sz w:val="18"/>
          <w:szCs w:val="18"/>
        </w:rPr>
      </w:pPr>
      <w:r>
        <w:rPr>
          <w:rFonts w:ascii="Arial" w:hAnsi="Arial" w:cs="Arial"/>
          <w:b/>
          <w:sz w:val="18"/>
          <w:szCs w:val="18"/>
        </w:rPr>
        <w:t>No Legal or Business Advice</w:t>
      </w:r>
    </w:p>
    <w:p w:rsidR="00B5460B" w:rsidRDefault="00CC2654">
      <w:pPr>
        <w:spacing w:after="120"/>
        <w:rPr>
          <w:rFonts w:ascii="Arial" w:hAnsi="Arial" w:cs="Arial"/>
          <w:sz w:val="18"/>
          <w:szCs w:val="18"/>
        </w:rPr>
      </w:pPr>
      <w:r>
        <w:rPr>
          <w:rFonts w:ascii="Arial" w:hAnsi="Arial" w:cs="Arial"/>
          <w:sz w:val="18"/>
          <w:szCs w:val="18"/>
        </w:rPr>
        <w:t>Nothing in the Start-Up Forms available through Stripe Atlas including the document descriptions and help resources (the "Forms Library"), and the documents produced by the Forms Library (the "Documents") is to be considered as the rendering of legal or business advice, either generally or in connection with any specific issue or case. These materials are intended for general informational and educational purposes only.  Users are responsible for obtaining legal or business advice from their own lawyer or other professional and should not rely on the Forms Library or the Documents without seeking such advice.</w:t>
      </w:r>
    </w:p>
    <w:p w:rsidR="00B5460B" w:rsidRDefault="00CC2654">
      <w:pPr>
        <w:spacing w:after="80"/>
        <w:rPr>
          <w:rFonts w:ascii="Arial" w:hAnsi="Arial" w:cs="Arial"/>
          <w:b/>
          <w:sz w:val="18"/>
          <w:szCs w:val="18"/>
        </w:rPr>
      </w:pPr>
      <w:r>
        <w:rPr>
          <w:rFonts w:ascii="Arial" w:hAnsi="Arial" w:cs="Arial"/>
          <w:b/>
          <w:sz w:val="18"/>
          <w:szCs w:val="18"/>
        </w:rPr>
        <w:t>No Attorney-Client Relationship</w:t>
      </w:r>
    </w:p>
    <w:p w:rsidR="00B5460B" w:rsidRDefault="00CC2654">
      <w:pPr>
        <w:spacing w:after="120"/>
        <w:rPr>
          <w:rFonts w:ascii="Arial" w:hAnsi="Arial" w:cs="Arial"/>
          <w:sz w:val="18"/>
          <w:szCs w:val="18"/>
        </w:rPr>
      </w:pPr>
      <w:r>
        <w:rPr>
          <w:rFonts w:ascii="Arial" w:hAnsi="Arial" w:cs="Arial"/>
          <w:sz w:val="18"/>
          <w:szCs w:val="18"/>
        </w:rPr>
        <w:t>Neither the availability, operation, transmission, receipt nor use of the Forms Library or the Documents is intended to create, nor does it create, an attorney-client relationship or any other relationship. Any information provided in connection with use of the Forms Library or the Documents is not privileged or confidential.</w:t>
      </w:r>
    </w:p>
    <w:p w:rsidR="00B5460B" w:rsidRDefault="00CC2654">
      <w:pPr>
        <w:spacing w:after="80"/>
        <w:rPr>
          <w:rFonts w:ascii="Arial" w:hAnsi="Arial" w:cs="Arial"/>
          <w:b/>
          <w:sz w:val="18"/>
          <w:szCs w:val="18"/>
        </w:rPr>
      </w:pPr>
      <w:r>
        <w:rPr>
          <w:rFonts w:ascii="Arial" w:hAnsi="Arial" w:cs="Arial"/>
          <w:b/>
          <w:sz w:val="18"/>
          <w:szCs w:val="18"/>
        </w:rPr>
        <w:t>Compliance with Laws</w:t>
      </w:r>
    </w:p>
    <w:p w:rsidR="00B5460B" w:rsidRDefault="00CC2654">
      <w:pPr>
        <w:spacing w:after="120"/>
        <w:rPr>
          <w:rFonts w:ascii="Arial" w:hAnsi="Arial" w:cs="Arial"/>
          <w:sz w:val="18"/>
          <w:szCs w:val="18"/>
        </w:rPr>
      </w:pPr>
      <w:r>
        <w:rPr>
          <w:rFonts w:ascii="Arial" w:hAnsi="Arial" w:cs="Arial"/>
          <w:sz w:val="18"/>
          <w:szCs w:val="18"/>
        </w:rPr>
        <w:t>You agree to use the Forms Library and the Documents in compliance with all applicable laws, including applicable securities laws, and, to the extent permitted by law, you agree to indemnify and hold Orrick, Herrington &amp; Sutcliffe LLP, Stripe, Inc. and their affiliates harmless from and against any and all claims, damages, losses or obligations arising from your failure to comply.</w:t>
      </w:r>
    </w:p>
    <w:p w:rsidR="00B5460B" w:rsidRDefault="00CC2654">
      <w:pPr>
        <w:spacing w:after="80"/>
        <w:rPr>
          <w:rFonts w:ascii="Arial" w:hAnsi="Arial" w:cs="Arial"/>
          <w:b/>
          <w:sz w:val="18"/>
          <w:szCs w:val="18"/>
        </w:rPr>
      </w:pPr>
      <w:r>
        <w:rPr>
          <w:rFonts w:ascii="Arial" w:hAnsi="Arial" w:cs="Arial"/>
          <w:b/>
          <w:sz w:val="18"/>
          <w:szCs w:val="18"/>
        </w:rPr>
        <w:t>Disclaimer of Liability</w:t>
      </w:r>
    </w:p>
    <w:p w:rsidR="00B5460B" w:rsidRDefault="00CC2654">
      <w:pPr>
        <w:spacing w:after="120"/>
        <w:rPr>
          <w:rFonts w:ascii="Arial" w:hAnsi="Arial" w:cs="Arial"/>
          <w:sz w:val="18"/>
          <w:szCs w:val="18"/>
        </w:rPr>
      </w:pPr>
      <w:r>
        <w:rPr>
          <w:rFonts w:ascii="Arial" w:hAnsi="Arial" w:cs="Arial"/>
          <w:sz w:val="18"/>
          <w:szCs w:val="18"/>
        </w:rPr>
        <w:t>TO THE EXTENT PERMITTED BY LAW THE FORMS LIBRARY AND THE DOCUMENTS ARE PROVIDED AS-IS WITH NO REPRESENTATIONS OR WARRANTIES, EITHER EXPRESS OR IMPLIED, INCLUDING, BUT NOT LIMITED TO, IMPLIED WARRANTIES OF MERCHANTABILITY, FITNESS FOR A PARTICULAR PURPOSE AND NONINFRINGEMENT. TO THE EXTENT PERMITTED BY LAW YOU ASSUME COMPLETE RESPONSIBILITY AND RISK FOR USE OF THE FORMS LIBRARY AND THE DOCUMENTS.</w:t>
      </w:r>
    </w:p>
    <w:p w:rsidR="00B5460B" w:rsidRDefault="00CC2654">
      <w:pPr>
        <w:spacing w:after="120"/>
        <w:rPr>
          <w:rFonts w:ascii="Arial" w:hAnsi="Arial" w:cs="Arial"/>
          <w:sz w:val="18"/>
          <w:szCs w:val="18"/>
        </w:rPr>
      </w:pPr>
      <w:r>
        <w:rPr>
          <w:rFonts w:ascii="Arial" w:hAnsi="Arial" w:cs="Arial"/>
          <w:sz w:val="18"/>
          <w:szCs w:val="18"/>
        </w:rPr>
        <w:t>To the extent permitted by law, each of Orrick, Herrington &amp; Sutcliffe LLP, Stripe, Inc. and their affiliates expressly disclaims all liability, loss or risk incurred as a direct or indirect consequence of the use of the Forms Library or the Documents. To the extent permitted by law, by using the Forms Library or the Documents, you waive any rights or claims you may have against Orrick, Herrington &amp; Sutcliffe LLP, Stripe, Inc. and their affiliates in connection therewith. The information contained in the Forms Library and the Documents is provided only as general information and may not reflect the most current market and legal developments and may not address all relevant business or legal issues; accordingly, information in the Forms Library or the Documents is not promised or guaranteed to be correct or complete. Further, Orrick, Herrington &amp; Sutcliffe LLP, Stripe, Inc. and their affiliates do not necessarily endorse, and is not responsible for, any third-party content that may be accessed through the Forms Library or the Documents.</w:t>
      </w:r>
    </w:p>
    <w:p w:rsidR="00B5460B" w:rsidRDefault="00CC2654">
      <w:pPr>
        <w:spacing w:after="120"/>
        <w:rPr>
          <w:rFonts w:ascii="Arial" w:hAnsi="Arial" w:cs="Arial"/>
          <w:sz w:val="18"/>
          <w:szCs w:val="18"/>
        </w:rPr>
      </w:pPr>
      <w:r>
        <w:rPr>
          <w:rFonts w:ascii="Arial" w:hAnsi="Arial" w:cs="Arial"/>
          <w:sz w:val="18"/>
          <w:szCs w:val="18"/>
        </w:rPr>
        <w:t>Orrick, Herrington &amp; Sutcliffe LLP at its sole discretion may choose to change the terms, conditions and operation of the Forms Library and the Documents at any time. Orrick, Herrington &amp; Sutcliffe LLP, in its sole discretion, reserves the right to refuse to provide you access to the Forms Library and the Documents. To the extent permitted by law, you agree that Orrick, Herrington &amp; Sutcliffe LLP shall not be liable to you for loss or damages that may result from our refusal to provide access to the Forms Library or the Documents.</w:t>
      </w:r>
    </w:p>
    <w:p w:rsidR="00B5460B" w:rsidRDefault="00CC2654">
      <w:pPr>
        <w:spacing w:after="80"/>
        <w:rPr>
          <w:rFonts w:ascii="Arial" w:hAnsi="Arial" w:cs="Arial"/>
          <w:b/>
          <w:sz w:val="18"/>
          <w:szCs w:val="18"/>
        </w:rPr>
      </w:pPr>
      <w:r>
        <w:rPr>
          <w:rFonts w:ascii="Arial" w:hAnsi="Arial" w:cs="Arial"/>
          <w:b/>
          <w:sz w:val="18"/>
          <w:szCs w:val="18"/>
        </w:rPr>
        <w:t>Use by Agents</w:t>
      </w:r>
    </w:p>
    <w:p w:rsidR="00B5460B" w:rsidRDefault="00CC2654">
      <w:pPr>
        <w:spacing w:after="120"/>
        <w:rPr>
          <w:rFonts w:ascii="Arial" w:hAnsi="Arial" w:cs="Arial"/>
          <w:sz w:val="18"/>
          <w:szCs w:val="18"/>
        </w:rPr>
      </w:pPr>
      <w:r>
        <w:rPr>
          <w:rFonts w:ascii="Arial" w:hAnsi="Arial" w:cs="Arial"/>
          <w:sz w:val="18"/>
          <w:szCs w:val="18"/>
        </w:rPr>
        <w:t>You agree that, if an agent (e.g., an attorney, an employee, etc.) uses the Forms Library or the Documents on your behalf, you are nonetheless bound as a principal by all terms and conditions herein.</w:t>
      </w:r>
    </w:p>
    <w:p w:rsidR="00B5460B" w:rsidRDefault="00CC2654">
      <w:r>
        <w:rPr>
          <w:rFonts w:ascii="Arial" w:hAnsi="Arial" w:cs="Arial"/>
          <w:sz w:val="18"/>
          <w:szCs w:val="18"/>
        </w:rPr>
        <w:br/>
        <w:t>REV 16 March 2017</w:t>
      </w:r>
      <w:r>
        <w:t xml:space="preserve"> </w:t>
      </w:r>
    </w:p>
    <w:p w:rsidR="00B5460B" w:rsidRDefault="00CC2654">
      <w:pPr>
        <w:spacing w:after="200" w:line="276" w:lineRule="auto"/>
      </w:pPr>
      <w:r>
        <w:br w:type="page"/>
      </w:r>
    </w:p>
    <w:p w:rsidR="00B5460B" w:rsidRDefault="00CC2654">
      <w:pPr>
        <w:jc w:val="right"/>
      </w:pPr>
      <w:r>
        <w:rPr>
          <w:noProof/>
        </w:rPr>
        <w:lastRenderedPageBreak/>
        <w:drawing>
          <wp:inline distT="0" distB="0" distL="0" distR="0" wp14:anchorId="2B695FF1" wp14:editId="049272C0">
            <wp:extent cx="1252330" cy="704088"/>
            <wp:effectExtent l="0" t="0" r="5080" b="127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906693" name="Picture 1" descr="C:\Users\sbrown\Desktop\SPB\SPBLogoBW.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52330" cy="704088"/>
                    </a:xfrm>
                    <a:prstGeom prst="rect">
                      <a:avLst/>
                    </a:prstGeom>
                    <a:noFill/>
                    <a:ln>
                      <a:noFill/>
                    </a:ln>
                  </pic:spPr>
                </pic:pic>
              </a:graphicData>
            </a:graphic>
          </wp:inline>
        </w:drawing>
      </w:r>
    </w:p>
    <w:p w:rsidR="00B5460B" w:rsidRDefault="00CC2654">
      <w:pPr>
        <w:rPr>
          <w:rFonts w:ascii="Arial" w:hAnsi="Arial" w:cs="Arial"/>
          <w:b/>
          <w:sz w:val="18"/>
          <w:szCs w:val="18"/>
        </w:rPr>
      </w:pPr>
      <w:r>
        <w:rPr>
          <w:rFonts w:ascii="Arial" w:hAnsi="Arial" w:cs="Arial"/>
          <w:b/>
          <w:sz w:val="18"/>
          <w:szCs w:val="18"/>
        </w:rPr>
        <w:t>Startup Forms: Advisor Agreement</w:t>
      </w:r>
    </w:p>
    <w:p w:rsidR="00B5460B" w:rsidRDefault="00B5460B">
      <w:pPr>
        <w:rPr>
          <w:rFonts w:ascii="Arial" w:hAnsi="Arial" w:cs="Arial"/>
          <w:sz w:val="18"/>
          <w:szCs w:val="18"/>
        </w:rPr>
      </w:pPr>
    </w:p>
    <w:p w:rsidR="00B5460B" w:rsidRDefault="00CC2654">
      <w:pPr>
        <w:rPr>
          <w:rFonts w:ascii="Arial" w:hAnsi="Arial" w:cs="Arial"/>
          <w:b/>
          <w:sz w:val="18"/>
          <w:szCs w:val="18"/>
        </w:rPr>
      </w:pPr>
      <w:r>
        <w:rPr>
          <w:rFonts w:ascii="Arial" w:hAnsi="Arial" w:cs="Arial"/>
          <w:b/>
          <w:sz w:val="18"/>
          <w:szCs w:val="18"/>
        </w:rPr>
        <w:t>General Guidelines for Forms</w:t>
      </w:r>
    </w:p>
    <w:p w:rsidR="00B5460B" w:rsidRDefault="00B5460B">
      <w:pPr>
        <w:rPr>
          <w:rFonts w:ascii="Arial" w:hAnsi="Arial" w:cs="Arial"/>
          <w:sz w:val="18"/>
          <w:szCs w:val="18"/>
        </w:rPr>
      </w:pPr>
    </w:p>
    <w:p w:rsidR="00B5460B" w:rsidRDefault="00CC2654">
      <w:pPr>
        <w:rPr>
          <w:rFonts w:ascii="Arial" w:hAnsi="Arial" w:cs="Arial"/>
          <w:sz w:val="18"/>
          <w:szCs w:val="18"/>
        </w:rPr>
      </w:pPr>
      <w:r>
        <w:rPr>
          <w:rFonts w:ascii="Arial" w:hAnsi="Arial" w:cs="Arial"/>
          <w:sz w:val="18"/>
          <w:szCs w:val="18"/>
        </w:rPr>
        <w:t>As a general matter, you should not make substantive changes to any of the forms included in the Startup Forms Library without checking with your legal counsel. We are constantly improving and updating our forms to keep up with developments in the law and in what's "standard" in the market. As such, you should check here periodically to determine whether you have the latest forms available.</w:t>
      </w:r>
    </w:p>
    <w:p w:rsidR="00B5460B" w:rsidRDefault="00B5460B">
      <w:pPr>
        <w:rPr>
          <w:rFonts w:ascii="Arial" w:hAnsi="Arial" w:cs="Arial"/>
          <w:sz w:val="18"/>
          <w:szCs w:val="18"/>
        </w:rPr>
      </w:pPr>
    </w:p>
    <w:p w:rsidR="00B5460B" w:rsidRDefault="00CC2654">
      <w:pPr>
        <w:rPr>
          <w:rFonts w:ascii="Arial" w:hAnsi="Arial" w:cs="Arial"/>
          <w:b/>
          <w:sz w:val="18"/>
          <w:szCs w:val="18"/>
        </w:rPr>
      </w:pPr>
      <w:r>
        <w:rPr>
          <w:rFonts w:ascii="Arial" w:hAnsi="Arial" w:cs="Arial"/>
          <w:b/>
          <w:sz w:val="18"/>
          <w:szCs w:val="18"/>
        </w:rPr>
        <w:t>Advisor Agreement</w:t>
      </w:r>
    </w:p>
    <w:p w:rsidR="00B5460B" w:rsidRDefault="00B5460B">
      <w:pPr>
        <w:rPr>
          <w:rFonts w:ascii="Arial" w:hAnsi="Arial" w:cs="Arial"/>
          <w:sz w:val="18"/>
          <w:szCs w:val="18"/>
        </w:rPr>
      </w:pPr>
    </w:p>
    <w:p w:rsidR="00B5460B" w:rsidRDefault="00CC2654">
      <w:pPr>
        <w:rPr>
          <w:rFonts w:ascii="Arial" w:hAnsi="Arial" w:cs="Arial"/>
          <w:sz w:val="18"/>
          <w:szCs w:val="18"/>
        </w:rPr>
      </w:pPr>
      <w:r>
        <w:rPr>
          <w:rFonts w:ascii="Arial" w:hAnsi="Arial" w:cs="Arial"/>
          <w:sz w:val="18"/>
          <w:szCs w:val="18"/>
        </w:rPr>
        <w:t>This agreement allows the Company to engage an individual to advise the Company’s Board without becoming a director.</w:t>
      </w:r>
    </w:p>
    <w:p w:rsidR="00B5460B" w:rsidRDefault="00B5460B">
      <w:pPr>
        <w:rPr>
          <w:rFonts w:ascii="Arial" w:hAnsi="Arial" w:cs="Arial"/>
          <w:sz w:val="18"/>
          <w:szCs w:val="18"/>
        </w:rPr>
      </w:pPr>
    </w:p>
    <w:p w:rsidR="00B5460B" w:rsidRDefault="00CC2654">
      <w:pPr>
        <w:rPr>
          <w:rFonts w:ascii="Arial" w:hAnsi="Arial" w:cs="Arial"/>
          <w:b/>
          <w:sz w:val="18"/>
          <w:szCs w:val="18"/>
        </w:rPr>
      </w:pPr>
      <w:r>
        <w:rPr>
          <w:rFonts w:ascii="Arial" w:hAnsi="Arial" w:cs="Arial"/>
          <w:b/>
          <w:sz w:val="18"/>
          <w:szCs w:val="18"/>
        </w:rPr>
        <w:t>Using these Forms</w:t>
      </w:r>
    </w:p>
    <w:p w:rsidR="00B5460B" w:rsidRDefault="00B5460B">
      <w:pPr>
        <w:rPr>
          <w:rFonts w:ascii="Arial" w:hAnsi="Arial" w:cs="Arial"/>
          <w:sz w:val="18"/>
          <w:szCs w:val="18"/>
        </w:rPr>
      </w:pPr>
    </w:p>
    <w:p w:rsidR="00B5460B" w:rsidRDefault="00CC2654">
      <w:pPr>
        <w:rPr>
          <w:rFonts w:ascii="Arial" w:hAnsi="Arial" w:cs="Arial"/>
          <w:sz w:val="18"/>
          <w:szCs w:val="18"/>
        </w:rPr>
      </w:pPr>
      <w:r>
        <w:rPr>
          <w:rFonts w:ascii="Arial" w:hAnsi="Arial" w:cs="Arial"/>
          <w:sz w:val="18"/>
          <w:szCs w:val="18"/>
        </w:rPr>
        <w:t xml:space="preserve">The document below includes footnotes with additional information.  The footnotes must be deleted by you or your counsel before execution. </w:t>
      </w:r>
    </w:p>
    <w:p w:rsidR="00B5460B" w:rsidRDefault="00B5460B">
      <w:pPr>
        <w:rPr>
          <w:rFonts w:ascii="Arial" w:hAnsi="Arial" w:cs="Arial"/>
          <w:sz w:val="18"/>
          <w:szCs w:val="18"/>
        </w:rPr>
      </w:pPr>
    </w:p>
    <w:p w:rsidR="00B5460B" w:rsidRDefault="00B5460B">
      <w:pPr>
        <w:rPr>
          <w:rFonts w:ascii="Arial" w:hAnsi="Arial" w:cs="Arial"/>
          <w:sz w:val="18"/>
          <w:szCs w:val="18"/>
        </w:rPr>
      </w:pPr>
    </w:p>
    <w:p w:rsidR="00B5460B" w:rsidRDefault="00B5460B"/>
    <w:p w:rsidR="00B5460B" w:rsidRDefault="00B5460B">
      <w:pPr>
        <w:pStyle w:val="O-BodyText"/>
        <w:spacing w:after="80"/>
        <w:rPr>
          <w:sz w:val="18"/>
          <w:szCs w:val="18"/>
        </w:rPr>
      </w:pPr>
    </w:p>
    <w:p w:rsidR="00B5460B" w:rsidRDefault="00B5460B">
      <w:pPr>
        <w:sectPr w:rsidR="00B5460B">
          <w:footerReference w:type="even" r:id="rId10"/>
          <w:footerReference w:type="default" r:id="rId11"/>
          <w:pgSz w:w="12240" w:h="15840" w:code="1"/>
          <w:pgMar w:top="1440" w:right="1440" w:bottom="1440" w:left="1440" w:header="720" w:footer="720" w:gutter="0"/>
          <w:pgNumType w:start="1"/>
          <w:cols w:space="720"/>
          <w:formProt w:val="0"/>
          <w:titlePg/>
          <w:docGrid w:linePitch="360"/>
        </w:sectPr>
      </w:pPr>
    </w:p>
    <w:p w:rsidR="00B5460B" w:rsidRDefault="00CC2654">
      <w:pPr>
        <w:pStyle w:val="Heading1"/>
        <w:rPr>
          <w:rStyle w:val="O-TITLECENTEREDBChar"/>
          <w:rFonts w:cs="Arial"/>
          <w:b/>
        </w:rPr>
      </w:pPr>
      <w:r>
        <w:rPr>
          <w:rStyle w:val="O-TITLECENTEREDBChar"/>
          <w:rFonts w:cs="Arial"/>
          <w:b/>
        </w:rPr>
        <w:lastRenderedPageBreak/>
        <w:t>[Company Name]</w:t>
      </w:r>
    </w:p>
    <w:p w:rsidR="00B5460B" w:rsidRDefault="00CC2654">
      <w:pPr>
        <w:pStyle w:val="O-TITLECENTEREDU"/>
        <w:rPr>
          <w:b/>
          <w:bCs/>
        </w:rPr>
      </w:pPr>
      <w:r>
        <w:rPr>
          <w:b/>
          <w:bCs/>
        </w:rPr>
        <w:t>Advisor Agreement</w:t>
      </w:r>
    </w:p>
    <w:p w:rsidR="00B5460B" w:rsidRDefault="00CC2654">
      <w:pPr>
        <w:pStyle w:val="O-BodyText5"/>
      </w:pPr>
      <w:r>
        <w:t>This Advisor Agreement</w:t>
      </w:r>
      <w:r>
        <w:rPr>
          <w:rStyle w:val="FootnoteReference"/>
        </w:rPr>
        <w:footnoteReference w:id="1"/>
      </w:r>
      <w:r>
        <w:rPr>
          <w:rStyle w:val="FootnoteReference"/>
        </w:rPr>
        <w:footnoteReference w:id="2"/>
      </w:r>
      <w:r>
        <w:t xml:space="preserve"> (this “</w:t>
      </w:r>
      <w:r>
        <w:rPr>
          <w:u w:val="single"/>
        </w:rPr>
        <w:t>Agreement</w:t>
      </w:r>
      <w:r>
        <w:t xml:space="preserve">”) is entered into as of [Date], by and between </w:t>
      </w:r>
      <w:r>
        <w:rPr>
          <w:noProof/>
        </w:rPr>
        <w:t>[Company Name]</w:t>
      </w:r>
      <w:r>
        <w:t xml:space="preserve">, a </w:t>
      </w:r>
      <w:r>
        <w:rPr>
          <w:noProof/>
        </w:rPr>
        <w:t>Delaware</w:t>
      </w:r>
      <w:r>
        <w:t xml:space="preserve"> corporation (the “</w:t>
      </w:r>
      <w:r>
        <w:rPr>
          <w:u w:val="single"/>
        </w:rPr>
        <w:t>Company</w:t>
      </w:r>
      <w:r>
        <w:t>”), and [Advisor Name] (“</w:t>
      </w:r>
      <w:r>
        <w:rPr>
          <w:u w:val="single"/>
        </w:rPr>
        <w:t>Advisor</w:t>
      </w:r>
      <w:r>
        <w:t>”).</w:t>
      </w:r>
    </w:p>
    <w:p w:rsidR="00B5460B" w:rsidRDefault="00CC2654">
      <w:pPr>
        <w:pStyle w:val="O-BodyText5"/>
        <w:jc w:val="both"/>
      </w:pPr>
      <w:r>
        <w:t xml:space="preserve">The parties agree as follows: </w:t>
      </w:r>
    </w:p>
    <w:p w:rsidR="00B5460B" w:rsidRDefault="00CC2654">
      <w:pPr>
        <w:pStyle w:val="TabbedL1"/>
      </w:pPr>
      <w:r>
        <w:rPr>
          <w:b/>
          <w:u w:val="single"/>
        </w:rPr>
        <w:t>Services</w:t>
      </w:r>
      <w:r>
        <w:t>.  Advisor agrees to act as an advisor to the Company and to provide advice and assistance to the Company as is mutually agreed by the parties (collectively, the “</w:t>
      </w:r>
      <w:r>
        <w:rPr>
          <w:u w:val="single"/>
        </w:rPr>
        <w:t>Services</w:t>
      </w:r>
      <w:r>
        <w:t>”).</w:t>
      </w:r>
    </w:p>
    <w:p w:rsidR="00B5460B" w:rsidRDefault="00CC2654">
      <w:pPr>
        <w:pStyle w:val="TabbedL1"/>
      </w:pPr>
      <w:r>
        <w:rPr>
          <w:b/>
          <w:u w:val="single"/>
        </w:rPr>
        <w:t>Compensation</w:t>
      </w:r>
      <w:r>
        <w:t>.  Advisor shall not be entitled to receive any cash compensation for the Services provided hereunder.  However, subject to the approval of the Company’s Board of Directors, Advisor will be granted</w:t>
      </w:r>
      <w:r>
        <w:rPr>
          <w:rStyle w:val="FootnoteReference"/>
        </w:rPr>
        <w:footnoteReference w:id="3"/>
      </w:r>
      <w:r>
        <w:t xml:space="preserve"> [a </w:t>
      </w:r>
      <w:proofErr w:type="spellStart"/>
      <w:r>
        <w:t>nonstatutory</w:t>
      </w:r>
      <w:proofErr w:type="spellEnd"/>
      <w:r>
        <w:t xml:space="preserve"> option] </w:t>
      </w:r>
      <w:r>
        <w:rPr>
          <w:b/>
        </w:rPr>
        <w:t>OR</w:t>
      </w:r>
      <w:r>
        <w:t xml:space="preserve"> [a right] to purchase __________ shares of the Company’s common stock.  The [option] </w:t>
      </w:r>
      <w:r>
        <w:rPr>
          <w:b/>
        </w:rPr>
        <w:t>OR</w:t>
      </w:r>
      <w:r>
        <w:t xml:space="preserve"> [purchase right] will be subject to the terms and conditions applicable to [options] </w:t>
      </w:r>
      <w:r>
        <w:rPr>
          <w:b/>
        </w:rPr>
        <w:t>OR</w:t>
      </w:r>
      <w:r>
        <w:t xml:space="preserve"> [restricted stock purchase awards] granted under the Company’s [Stock Plan Name] (the “</w:t>
      </w:r>
      <w:r>
        <w:rPr>
          <w:u w:val="single"/>
        </w:rPr>
        <w:t>Plan</w:t>
      </w:r>
      <w:r>
        <w:t xml:space="preserve">”), as described in that plan and the applicable [stock option] </w:t>
      </w:r>
      <w:r>
        <w:rPr>
          <w:b/>
        </w:rPr>
        <w:t>OR</w:t>
      </w:r>
      <w:r>
        <w:t xml:space="preserve"> [restricted stock purchase] agreement, which Advisor will be required to sign (the “</w:t>
      </w:r>
      <w:r>
        <w:rPr>
          <w:u w:val="single"/>
        </w:rPr>
        <w:t>Stock Agreement</w:t>
      </w:r>
      <w:r>
        <w:t>”).</w:t>
      </w:r>
    </w:p>
    <w:p w:rsidR="00B5460B" w:rsidRDefault="00CC2654">
      <w:pPr>
        <w:pStyle w:val="TabbedL1"/>
        <w:numPr>
          <w:ilvl w:val="0"/>
          <w:numId w:val="0"/>
        </w:numPr>
        <w:ind w:firstLine="720"/>
      </w:pPr>
      <w:r>
        <w:t xml:space="preserve">Although management of the Company will recommend to the Company’s Board of Directors that you be granted the [option] </w:t>
      </w:r>
      <w:r>
        <w:rPr>
          <w:b/>
        </w:rPr>
        <w:t>OR</w:t>
      </w:r>
      <w:r>
        <w:t xml:space="preserve"> [restricted stock purchase award]on the terms set forth herein, by execution of this letter, you acknowledge that you have no right to receive the [option] </w:t>
      </w:r>
      <w:r>
        <w:rPr>
          <w:b/>
        </w:rPr>
        <w:t>OR</w:t>
      </w:r>
      <w:r>
        <w:t xml:space="preserve"> [restricted stock purchase award], or any right to have the [option] </w:t>
      </w:r>
      <w:r>
        <w:rPr>
          <w:b/>
        </w:rPr>
        <w:t>OR</w:t>
      </w:r>
      <w:r>
        <w:t xml:space="preserve"> [restricted stock purchase award]subject to the specific terms set forth herein, unless the grant is approved by the Company’s Board of Directors.</w:t>
      </w:r>
    </w:p>
    <w:p w:rsidR="00B5460B" w:rsidRDefault="00CC2654">
      <w:pPr>
        <w:pStyle w:val="TabbedL1"/>
      </w:pPr>
      <w:r>
        <w:rPr>
          <w:b/>
          <w:u w:val="single"/>
        </w:rPr>
        <w:t>Expenses</w:t>
      </w:r>
      <w:r>
        <w:t>.  The Company shall reimburse Advisor for reasonable expenses incurred in the course of performing services hereunder, provided, however, that all expenses shall be approved in advance by the Company.  As a condition to receipt of reimbursement, Advisor shall be required to submit to the Company reasonable evidence that the amount involved was both reasonable and necessary to the Services provided under this Agreement.</w:t>
      </w:r>
    </w:p>
    <w:p w:rsidR="00B5460B" w:rsidRDefault="00CC2654">
      <w:pPr>
        <w:pStyle w:val="TabbedL1"/>
      </w:pPr>
      <w:r>
        <w:rPr>
          <w:b/>
          <w:u w:val="single"/>
        </w:rPr>
        <w:t>Term and Termination</w:t>
      </w:r>
      <w:r>
        <w:t xml:space="preserve">.  The term of this Agreement shall be for a period of ____ years from the date hereof and may be renewed by mutual agreement of the parties; </w:t>
      </w:r>
      <w:r>
        <w:rPr>
          <w:u w:val="single"/>
        </w:rPr>
        <w:lastRenderedPageBreak/>
        <w:t>provided</w:t>
      </w:r>
      <w:r>
        <w:t xml:space="preserve">, </w:t>
      </w:r>
      <w:r>
        <w:rPr>
          <w:u w:val="single"/>
        </w:rPr>
        <w:t>however</w:t>
      </w:r>
      <w:r>
        <w:t>, that this Agreement may be terminated by either party for any reason upon five (5) business days prior written notice without further obligation or liability.</w:t>
      </w:r>
    </w:p>
    <w:p w:rsidR="00B5460B" w:rsidRDefault="00CC2654">
      <w:pPr>
        <w:pStyle w:val="TabbedL1"/>
      </w:pPr>
      <w:r>
        <w:rPr>
          <w:b/>
          <w:u w:val="single"/>
        </w:rPr>
        <w:t>Independent Contractor</w:t>
      </w:r>
      <w:r>
        <w:t>.  Advisor’s relationship with the Company will be that of an independent contractor and not that of an employee.  Advisor will not be eligible for any employee benefits, nor will the Company make deductions from payments made to Advisor for employment or income taxes, all of which will be Advisor’s responsibility.  Advisor agrees to indemnify and hold the Company harmless from any liability for, or assessment of, any such taxes imposed on the Company by relevant taxing authorities.  Advisor will have no authority to enter into contracts that bind the Company or create obligations on the part of the Company without the prior written authorization of the Company.</w:t>
      </w:r>
    </w:p>
    <w:p w:rsidR="00B5460B" w:rsidRDefault="00CC2654">
      <w:pPr>
        <w:pStyle w:val="TabbedL1"/>
        <w:keepNext/>
        <w:jc w:val="both"/>
      </w:pPr>
      <w:bookmarkStart w:id="1" w:name="_Ref476662478"/>
      <w:r>
        <w:rPr>
          <w:b/>
          <w:u w:val="single"/>
        </w:rPr>
        <w:t>Nondisclosure of Confidential Information</w:t>
      </w:r>
      <w:r>
        <w:t>.</w:t>
      </w:r>
      <w:r>
        <w:rPr>
          <w:rStyle w:val="FootnoteReference"/>
        </w:rPr>
        <w:footnoteReference w:id="4"/>
      </w:r>
      <w:bookmarkEnd w:id="1"/>
      <w:r>
        <w:t xml:space="preserve"> </w:t>
      </w:r>
    </w:p>
    <w:p w:rsidR="00B5460B" w:rsidRDefault="00CC2654">
      <w:pPr>
        <w:pStyle w:val="TabbedL2"/>
      </w:pPr>
      <w:r>
        <w:rPr>
          <w:b/>
          <w:u w:val="single"/>
        </w:rPr>
        <w:t>Agreement Not to Disclose</w:t>
      </w:r>
      <w:r>
        <w:rPr>
          <w:b/>
        </w:rPr>
        <w:t>.</w:t>
      </w:r>
      <w:r>
        <w:t xml:space="preserve">  Advisor agrees not to use any Confidential Information (as defined below) disclosed to Advisor by the Company for Advisor’s own use or for any purpose other than to carry out discussions concerning, and the undertaking of, the Services.  Advisor shall not disclose or permit disclosure of any Confidential Information of the Company to third parties.  Advisor agrees to take all reasonable measures to protect the secrecy of and avoid disclosure or use of Confidential Information of the Company in order to prevent it from falling into the public domain or the possession of persons other than those persons authorized under this Agreement to have any such information.  Advisor further agrees to notify the Company in writing of any actual or suspected misuse, misappropriation or unauthorized disclosure of the Company’s Confidential Information which may come to Advisor’s attention.</w:t>
      </w:r>
    </w:p>
    <w:p w:rsidR="00B5460B" w:rsidRDefault="00CC2654">
      <w:pPr>
        <w:pStyle w:val="TabbedL2"/>
      </w:pPr>
      <w:r>
        <w:rPr>
          <w:b/>
          <w:u w:val="single"/>
        </w:rPr>
        <w:t>Definition of Confidential Information</w:t>
      </w:r>
      <w:r>
        <w:rPr>
          <w:b/>
        </w:rPr>
        <w:t>.</w:t>
      </w:r>
      <w:r>
        <w:t xml:space="preserve">  “</w:t>
      </w:r>
      <w:r>
        <w:rPr>
          <w:u w:val="single"/>
        </w:rPr>
        <w:t>Confidential Information</w:t>
      </w:r>
      <w:r>
        <w:t>” means any information, technical data or know-how (whether disclosed before or after the date of this Agreement), including, but not limited to, information relating to business and product or service plans, financial projections, customer lists, business forecasts, sales and merchandising, human resources, patents, patent applications, computer object or source code, research, inventions, processes, designs, drawings, engineering, marketing or finance to be confidential or proprietary or which information would, under the circumstances, appear to a reasonable person to be confidential or proprietary.  Confidential Information does not include information, technical data or know-how which: (i) is in the possession of Advisor at the time of disclosure, as shown by Advisor’s files and records immediately prior to the time of disclosure; or (ii) becomes part of the public knowledge or literature, not as a direct or indirect result of any improper inaction or action of Advisor.</w:t>
      </w:r>
    </w:p>
    <w:p w:rsidR="00B5460B" w:rsidRDefault="00CC2654">
      <w:pPr>
        <w:pStyle w:val="TabbedL2"/>
      </w:pPr>
      <w:r>
        <w:rPr>
          <w:b/>
          <w:u w:val="single"/>
        </w:rPr>
        <w:t>Exceptions</w:t>
      </w:r>
      <w:r>
        <w:rPr>
          <w:b/>
        </w:rPr>
        <w:t>.</w:t>
      </w:r>
      <w:r>
        <w:t xml:space="preserve">  Notwithstanding the above, Advisor shall not have liability to the Company or any of its subsidiaries with regard to any Confidential Information of the Company which Advisor can prove:</w:t>
      </w:r>
    </w:p>
    <w:p w:rsidR="00B5460B" w:rsidRDefault="00CC2654">
      <w:pPr>
        <w:pStyle w:val="TabbedL3"/>
      </w:pPr>
      <w:r>
        <w:t>is disclosed with the prior written approval of the Company; or</w:t>
      </w:r>
    </w:p>
    <w:p w:rsidR="00B5460B" w:rsidRDefault="00CC2654">
      <w:pPr>
        <w:pStyle w:val="TabbedL3"/>
      </w:pPr>
      <w:proofErr w:type="gramStart"/>
      <w:r>
        <w:t>is</w:t>
      </w:r>
      <w:proofErr w:type="gramEnd"/>
      <w:r>
        <w:t xml:space="preserve"> disclosed pursuant to the order or requirement of a court, administrative agency, or other governmental body; provided, however, that Advisor shall provide prompt notice of such court order or requirement to the Company to enable the Company or its appropriate subsidiary to seek a protective order or otherwise prevent or restrict such disclosure.</w:t>
      </w:r>
    </w:p>
    <w:p w:rsidR="00B5460B" w:rsidRDefault="00CC2654">
      <w:pPr>
        <w:pStyle w:val="TabbedL2"/>
      </w:pPr>
      <w:r>
        <w:rPr>
          <w:b/>
          <w:bCs/>
          <w:u w:val="single"/>
        </w:rPr>
        <w:t>U.S. Defend Trade Secrets Act</w:t>
      </w:r>
      <w:r>
        <w:rPr>
          <w:b/>
          <w:bCs/>
        </w:rPr>
        <w:t>.</w:t>
      </w:r>
      <w:r>
        <w:t xml:space="preserve">  Notwithstanding the foregoing, the U.S. Defend Trade Secrets Act of 2016 (“</w:t>
      </w:r>
      <w:r>
        <w:rPr>
          <w:u w:val="single"/>
        </w:rPr>
        <w:t>DTSA</w:t>
      </w:r>
      <w:r>
        <w:t>”) provides that an individual shall not be held criminally or civilly liable under any federal or state trade secret law for the disclosure of a trade secret that is made (i) in confidence to a federal, state, or local government official, either directly or indirectly, or to an attorney; and (ii) solely for the purpose of reporting or investigating a suspected violation of law; or (iii) in a complaint or other document filed in a lawsuit or other proceeding, if such filing is made under seal.  In addition, DTSA provides that an individual who files a lawsuit for retaliation by an employer for reporting a suspected violation of law may disclose the trade secret to the attorney of the individual and use the trade secret information in the court proceeding, if the individual (A) files any document containing the trade secret under seal; and (B) does not disclose the trade secret, except pursuant to court order.</w:t>
      </w:r>
    </w:p>
    <w:p w:rsidR="00B5460B" w:rsidRDefault="00CC2654">
      <w:pPr>
        <w:pStyle w:val="TabbedL1"/>
      </w:pPr>
      <w:r>
        <w:rPr>
          <w:b/>
          <w:u w:val="single"/>
        </w:rPr>
        <w:t>No Duplication; Return of Materials</w:t>
      </w:r>
      <w:r>
        <w:t xml:space="preserve">.  Advisor agrees, except as otherwise expressly authorized by the Company, not to make any copies or duplicates of any of the Company’s Confidential Information.  Any materials or documents that have been furnished by the Company to Advisor in connection with the Services shall be promptly returned by Advisor to the Company, accompanied by </w:t>
      </w:r>
      <w:r>
        <w:rPr>
          <w:u w:val="single"/>
        </w:rPr>
        <w:t>all</w:t>
      </w:r>
      <w:r>
        <w:t xml:space="preserve"> copies of such documentation, within ten days after the earlier of (a) the date on which the Services have been concluded or (b) the date of written request of the Company.</w:t>
      </w:r>
    </w:p>
    <w:p w:rsidR="00B5460B" w:rsidRDefault="00CC2654">
      <w:pPr>
        <w:pStyle w:val="TabbedL1"/>
      </w:pPr>
      <w:r>
        <w:rPr>
          <w:b/>
          <w:u w:val="single"/>
        </w:rPr>
        <w:t>No Rights Granted</w:t>
      </w:r>
      <w:r>
        <w:t xml:space="preserve">.  Nothing in this Agreement shall be construed as granting any rights under any patent, copyright or other intellectual property right of the Company, nor shall this Agreement grant Advisor any rights in or to the Company’s Confidential Information, except the limited right to use the Confidential Information in connection with the Services. </w:t>
      </w:r>
    </w:p>
    <w:p w:rsidR="00B5460B" w:rsidRDefault="00CC2654">
      <w:pPr>
        <w:pStyle w:val="TabbedL1"/>
      </w:pPr>
      <w:bookmarkStart w:id="2" w:name="_Ref476662497"/>
      <w:r>
        <w:rPr>
          <w:b/>
          <w:u w:val="single"/>
        </w:rPr>
        <w:t>Assignment of Inventions</w:t>
      </w:r>
      <w:r>
        <w:t>.  To the extent that, in connection with performing the Services, Advisor jointly or solely conceives, develops, or reduces to practice any inventions, original works of authorship, developments, concepts, know-how, improvements or trade secrets, whether or not patentable or registrable under copyright or similar laws, Advisor hereby assigns all rights, titles and interest to such inventions to the Company.</w:t>
      </w:r>
      <w:bookmarkEnd w:id="2"/>
    </w:p>
    <w:p w:rsidR="00B5460B" w:rsidRDefault="00CC2654">
      <w:pPr>
        <w:pStyle w:val="TabbedL1"/>
      </w:pPr>
      <w:r>
        <w:rPr>
          <w:b/>
          <w:u w:val="single"/>
        </w:rPr>
        <w:t>Duty to Assist</w:t>
      </w:r>
      <w:r>
        <w:t>.  As requested by the Company, Advisor shall take all steps reasonably necessary to assist the Company in obtaining and enforcing in its own name any patent, copyright or other protection which the Company elects to obtain or enforce for its inventions, original works of authorship, developments, concepts, know-how, improvements and trade secrets.  Advisor’s obligation to assist the Company in obtaining and enforcing patents, copyrights and other protections shall continue beyond the termination of Advisor’s relationship with the Company, but the Company shall compensate Advisor at a reasonable rate after the termination of such relationship for time actually spent at the Company’s request providing such assistance.</w:t>
      </w:r>
    </w:p>
    <w:p w:rsidR="00B5460B" w:rsidRDefault="00CC2654">
      <w:pPr>
        <w:pStyle w:val="TabbedL1"/>
      </w:pPr>
      <w:r>
        <w:rPr>
          <w:b/>
          <w:u w:val="single"/>
        </w:rPr>
        <w:t>No Conflicts</w:t>
      </w:r>
      <w:r>
        <w:t>.  Advisor represents that Advisor’s compliance with the terms of this Agreement and provision of Services hereunder will not violate any duty which Advisor may have to any other person or entity (such as a present or former employer), including obligations concerning providing services to others, confidentiality of proprietary information and assignment of inventions, ideas, patents or copyrights, and Advisor agrees that Advisor will not do anything in the performance of Services hereunder that would violate any such duty.  In addition, Advisor agrees that, during the term of this Agreement, prior to performing any services for or otherwise participating in a company developing or commercializing new software, services, methods, devices, or other technology that may be competitive with the Company, Advisor shall first notify the Company in writing.  It is understood that in such event, the Company will review whether Advisor’s activities are consistent with Advisor continuing to provide Services to the Company.</w:t>
      </w:r>
    </w:p>
    <w:p w:rsidR="00B5460B" w:rsidRDefault="00CC2654">
      <w:pPr>
        <w:pStyle w:val="TabbedL1"/>
      </w:pPr>
      <w:r>
        <w:rPr>
          <w:b/>
          <w:u w:val="single"/>
        </w:rPr>
        <w:t>Miscellaneous</w:t>
      </w:r>
      <w:r>
        <w:t>.  Any term of this Agreement may be amended or waived only with the written consent of the parties.  This Agreement, including any exhibits hereto, constitutes the sole agreement of the parties and supersedes all oral negotiations and prior writings with respect to the subject matter hereof.  Any notice required or permitted by this Agreement shall be in writing and shall be deemed sufficient upon delivery, when delivered personally or by overnight courier or sent by e-mail or fax (with customary confirmation of receipt), or 48 hours after being deposited in the U.S. mail as certified or registered mail (airmail if sent internationally) with postage prepaid, addressed to the party to be notified at such party’s address or fax number as set forth on the signature page herein, or as subsequently modified by written notice.  The validity, interpretation, construction and performance of this Agreement shall be governed by the laws of the state of California, without giving effect to the principles of conflict of laws.  This Agreement may be executed in counterparts, each of which shall be deemed an original, but all of which together will constitute one and the same instrument.</w:t>
      </w:r>
    </w:p>
    <w:p w:rsidR="00B5460B" w:rsidRDefault="00CC2654">
      <w:pPr>
        <w:pStyle w:val="O-BodyText5"/>
        <w:jc w:val="center"/>
        <w:rPr>
          <w:i/>
        </w:rPr>
      </w:pPr>
      <w:r>
        <w:rPr>
          <w:i/>
        </w:rPr>
        <w:t>[Signature Page Follows]</w:t>
      </w:r>
    </w:p>
    <w:p w:rsidR="00B5460B" w:rsidRDefault="00CC2654">
      <w:pPr>
        <w:pStyle w:val="O-BodyText5"/>
      </w:pPr>
      <w:r>
        <w:br w:type="page"/>
        <w:t>The parties have executed this Agreement as of the date first written above.</w:t>
      </w:r>
    </w:p>
    <w:p w:rsidR="00B5460B" w:rsidRDefault="00CC2654">
      <w:pPr>
        <w:pStyle w:val="O-SignCaps"/>
        <w:keepNext w:val="0"/>
        <w:rPr>
          <w:b/>
        </w:rPr>
      </w:pPr>
      <w:r>
        <w:rPr>
          <w:b/>
        </w:rPr>
        <w:t>the company:</w:t>
      </w:r>
    </w:p>
    <w:p w:rsidR="00B5460B" w:rsidRDefault="00CC2654">
      <w:pPr>
        <w:pStyle w:val="O-SignCaps"/>
        <w:keepNext w:val="0"/>
      </w:pPr>
      <w:r>
        <w:t>[Company Name]</w:t>
      </w:r>
    </w:p>
    <w:p w:rsidR="00B5460B" w:rsidRDefault="00CC2654">
      <w:pPr>
        <w:pStyle w:val="O-SignSpaceAfter0"/>
        <w:keepNext w:val="0"/>
        <w:tabs>
          <w:tab w:val="left" w:pos="9360"/>
        </w:tabs>
        <w:spacing w:before="240"/>
        <w:rPr>
          <w:u w:val="single"/>
        </w:rPr>
      </w:pPr>
      <w:r>
        <w:t>By:</w:t>
      </w:r>
      <w:r>
        <w:rPr>
          <w:u w:val="single"/>
        </w:rPr>
        <w:tab/>
      </w:r>
    </w:p>
    <w:p w:rsidR="00B5460B" w:rsidRDefault="00CC2654">
      <w:pPr>
        <w:pStyle w:val="O-Signature"/>
        <w:keepNext w:val="0"/>
        <w:tabs>
          <w:tab w:val="center" w:pos="7200"/>
        </w:tabs>
      </w:pPr>
      <w:r>
        <w:tab/>
        <w:t>(Signature)</w:t>
      </w:r>
    </w:p>
    <w:p w:rsidR="00B5460B" w:rsidRDefault="00CC2654">
      <w:pPr>
        <w:pStyle w:val="O-SignSpaceAfter0"/>
        <w:keepNext w:val="0"/>
        <w:tabs>
          <w:tab w:val="left" w:pos="9360"/>
        </w:tabs>
        <w:rPr>
          <w:u w:val="single"/>
        </w:rPr>
      </w:pPr>
      <w:r>
        <w:t>Name:</w:t>
      </w:r>
      <w:r>
        <w:rPr>
          <w:u w:val="single"/>
        </w:rPr>
        <w:tab/>
      </w:r>
    </w:p>
    <w:p w:rsidR="00B5460B" w:rsidRDefault="00CC2654">
      <w:pPr>
        <w:pStyle w:val="O-Signature"/>
        <w:keepNext w:val="0"/>
        <w:tabs>
          <w:tab w:val="left" w:pos="9360"/>
        </w:tabs>
        <w:rPr>
          <w:u w:val="single"/>
        </w:rPr>
      </w:pPr>
      <w:r>
        <w:t>Title:</w:t>
      </w:r>
      <w:r>
        <w:rPr>
          <w:u w:val="single"/>
        </w:rPr>
        <w:tab/>
      </w:r>
    </w:p>
    <w:p w:rsidR="00B5460B" w:rsidRDefault="00CC2654">
      <w:pPr>
        <w:pStyle w:val="O-Signature"/>
        <w:keepNext w:val="0"/>
        <w:tabs>
          <w:tab w:val="left" w:pos="9360"/>
        </w:tabs>
      </w:pPr>
      <w:r>
        <w:t>Address</w:t>
      </w:r>
      <w:proofErr w:type="gramStart"/>
      <w:r>
        <w:t>:</w:t>
      </w:r>
      <w:proofErr w:type="gramEnd"/>
      <w:r>
        <w:br/>
        <w:t>____________________</w:t>
      </w:r>
      <w:r>
        <w:br/>
        <w:t xml:space="preserve">__________  ______ </w:t>
      </w:r>
      <w:r>
        <w:br/>
        <w:t>United States</w:t>
      </w:r>
      <w:r>
        <w:br/>
        <w:t>Fax:  ________________</w:t>
      </w:r>
    </w:p>
    <w:p w:rsidR="00B5460B" w:rsidRDefault="00CC2654">
      <w:pPr>
        <w:pStyle w:val="O-SignCaps"/>
        <w:keepNext w:val="0"/>
        <w:spacing w:before="240"/>
        <w:rPr>
          <w:b/>
        </w:rPr>
      </w:pPr>
      <w:r>
        <w:rPr>
          <w:b/>
        </w:rPr>
        <w:t>Advisor:</w:t>
      </w:r>
    </w:p>
    <w:p w:rsidR="00B5460B" w:rsidRDefault="00CC2654">
      <w:pPr>
        <w:pStyle w:val="O-SignCaps"/>
        <w:keepNext w:val="0"/>
      </w:pPr>
      <w:r>
        <w:t>[Advisor Name]</w:t>
      </w:r>
    </w:p>
    <w:p w:rsidR="00B5460B" w:rsidRDefault="00CC2654">
      <w:pPr>
        <w:pStyle w:val="O-SignSpaceAfter0"/>
        <w:keepNext w:val="0"/>
        <w:tabs>
          <w:tab w:val="left" w:pos="9360"/>
        </w:tabs>
        <w:spacing w:after="240"/>
      </w:pPr>
      <w:r>
        <w:rPr>
          <w:u w:val="single"/>
        </w:rPr>
        <w:tab/>
      </w:r>
      <w:r>
        <w:rPr>
          <w:u w:val="single"/>
        </w:rPr>
        <w:br/>
      </w:r>
      <w:r>
        <w:t>(Signature)</w:t>
      </w:r>
    </w:p>
    <w:p w:rsidR="00B5460B" w:rsidRDefault="00CC2654">
      <w:pPr>
        <w:pStyle w:val="O-SignSpaceAfter0"/>
        <w:keepNext w:val="0"/>
        <w:tabs>
          <w:tab w:val="right" w:pos="7200"/>
        </w:tabs>
      </w:pPr>
      <w:r>
        <w:t>Address</w:t>
      </w:r>
      <w:proofErr w:type="gramStart"/>
      <w:r>
        <w:t>:</w:t>
      </w:r>
      <w:proofErr w:type="gramEnd"/>
      <w:r>
        <w:br/>
        <w:t>____________________</w:t>
      </w:r>
    </w:p>
    <w:p w:rsidR="00B5460B" w:rsidRDefault="00CC2654">
      <w:pPr>
        <w:pStyle w:val="O-SignSpaceAfter0"/>
        <w:keepNext w:val="0"/>
        <w:tabs>
          <w:tab w:val="right" w:pos="7200"/>
        </w:tabs>
        <w:spacing w:after="240"/>
      </w:pPr>
      <w:r>
        <w:t>_________</w:t>
      </w:r>
      <w:proofErr w:type="gramStart"/>
      <w:r>
        <w:t>_  _</w:t>
      </w:r>
      <w:proofErr w:type="gramEnd"/>
      <w:r>
        <w:t xml:space="preserve">_____ </w:t>
      </w:r>
      <w:r>
        <w:br/>
        <w:t>United States</w:t>
      </w:r>
      <w:r>
        <w:br/>
        <w:t>Fax:  ________________</w:t>
      </w:r>
      <w:r>
        <w:br/>
        <w:t>Email:  ________________</w:t>
      </w:r>
    </w:p>
    <w:p w:rsidR="00B5460B" w:rsidRDefault="00B5460B">
      <w:pPr>
        <w:pStyle w:val="O-TitleCLowerCaps"/>
        <w:rPr>
          <w:i/>
        </w:rPr>
      </w:pPr>
    </w:p>
    <w:sectPr w:rsidR="00B5460B">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F84" w:rsidRDefault="00F12F84">
      <w:r>
        <w:separator/>
      </w:r>
    </w:p>
  </w:endnote>
  <w:endnote w:type="continuationSeparator" w:id="0">
    <w:p w:rsidR="00F12F84" w:rsidRDefault="00F1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rPr>
        <w:vanish/>
        <w:color w:val="FF0000"/>
      </w:rPr>
      <w:t>***No Trailer - DO NOT delete***</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CB2" w:rsidRDefault="00DF0D71">
    <w:pPr>
      <w:pStyle w:val="Footer"/>
    </w:pPr>
    <w:r>
      <w:tab/>
      <w:t>-</w:t>
    </w:r>
    <w:r>
      <w:fldChar w:fldCharType="begin"/>
    </w:r>
    <w:r>
      <w:instrText xml:space="preserve"> PAGE \* MERGEFORMAT \* MERGEFORMAT </w:instrText>
    </w:r>
    <w:r>
      <w:fldChar w:fldCharType="separate"/>
    </w:r>
    <w:r w:rsidR="00003AAD">
      <w:rPr>
        <w:noProof/>
      </w:rPr>
      <w:t>5</w:t>
    </w:r>
    <w:r>
      <w:fldChar w:fldCharType="end"/>
    </w:r>
    <w:r>
      <w: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F84" w:rsidRDefault="00F12F84">
      <w:r>
        <w:separator/>
      </w:r>
    </w:p>
  </w:footnote>
  <w:footnote w:type="continuationSeparator" w:id="0">
    <w:p w:rsidR="00F12F84" w:rsidRDefault="00F12F84">
      <w:r>
        <w:continuationSeparator/>
      </w:r>
    </w:p>
  </w:footnote>
  <w:footnote w:id="1">
    <w:p w:rsidR="00B5460B" w:rsidRDefault="00CC2654">
      <w:pPr>
        <w:pStyle w:val="FootnoteText"/>
      </w:pPr>
      <w:r>
        <w:rPr>
          <w:rStyle w:val="FootnoteReference"/>
        </w:rPr>
        <w:footnoteRef/>
      </w:r>
      <w:r>
        <w:t xml:space="preserve"> This document contains annotations that should be deleted before adoption or execution.</w:t>
      </w:r>
    </w:p>
  </w:footnote>
  <w:footnote w:id="2">
    <w:p w:rsidR="00B5460B" w:rsidRDefault="00CC2654">
      <w:pPr>
        <w:pStyle w:val="FootnoteText"/>
      </w:pPr>
      <w:r>
        <w:rPr>
          <w:rStyle w:val="FootnoteReference"/>
        </w:rPr>
        <w:footnoteRef/>
      </w:r>
      <w:r>
        <w:t xml:space="preserve"> This document is intended for use with advisors in the U.S. and legal counsel in state of engagement should be consulted.</w:t>
      </w:r>
    </w:p>
  </w:footnote>
  <w:footnote w:id="3">
    <w:p w:rsidR="00B5460B" w:rsidRDefault="00CC2654">
      <w:pPr>
        <w:pStyle w:val="FootnoteText"/>
      </w:pPr>
      <w:r>
        <w:rPr>
          <w:rStyle w:val="FootnoteReference"/>
        </w:rPr>
        <w:footnoteRef/>
      </w:r>
      <w:r>
        <w:t xml:space="preserve"> Stock or options to purchase stock are usually issued to employees, advisors and consultants under a stock option plan.  The company’s Board of Directors must act to approve the establishment of a stock plan and the grant of restricted stock or stock options under the plan. These approvals can happen at a meeting in which a majority of the Directors are present and vote to approve, or by a unanimous written consent by all of the Directors. Stock plans must also be approved by a company’s stockholders – usually by written consent.</w:t>
      </w:r>
    </w:p>
  </w:footnote>
  <w:footnote w:id="4">
    <w:p w:rsidR="00B5460B" w:rsidRDefault="00CC2654">
      <w:pPr>
        <w:pStyle w:val="FootnoteText"/>
      </w:pPr>
      <w:r>
        <w:rPr>
          <w:rStyle w:val="FootnoteReference"/>
        </w:rPr>
        <w:footnoteRef/>
      </w:r>
      <w:r>
        <w:t xml:space="preserve"> The purpose of the provisions in Sections </w:t>
      </w:r>
      <w:r>
        <w:fldChar w:fldCharType="begin"/>
      </w:r>
      <w:r>
        <w:instrText xml:space="preserve"> REF _Ref476662478 \r \h </w:instrText>
      </w:r>
      <w:r>
        <w:fldChar w:fldCharType="separate"/>
      </w:r>
      <w:r>
        <w:t>6</w:t>
      </w:r>
      <w:r>
        <w:fldChar w:fldCharType="end"/>
      </w:r>
      <w:r>
        <w:t xml:space="preserve"> and </w:t>
      </w:r>
      <w:r>
        <w:fldChar w:fldCharType="begin"/>
      </w:r>
      <w:r>
        <w:instrText xml:space="preserve"> REF _Ref476662497 \r \h </w:instrText>
      </w:r>
      <w:r>
        <w:fldChar w:fldCharType="separate"/>
      </w:r>
      <w:r>
        <w:t>9</w:t>
      </w:r>
      <w:r>
        <w:fldChar w:fldCharType="end"/>
      </w:r>
      <w:r>
        <w:t xml:space="preserve"> are to ensure that the Company owns the technology and intellectual property developed by its consultants.  Best practice is that this agreements be signed when consulting begins as some states may question the enforceability of agreements entered into later for lack of contractual consideration.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5A282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84498D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A174668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8E2B0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7B4A4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AAC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4C30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32AB5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EE1E3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55A70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11"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60415"/>
    <w:multiLevelType w:val="multilevel"/>
    <w:tmpl w:val="7FDA5E90"/>
    <w:name w:val="zzmpTabbed||Tabbed|2|1|1|1|0|0||1|0|0||1|0|0||1|0|0||1|0|0||1|0|0||1|0|0||1|0|0||1|0|0||"/>
    <w:lvl w:ilvl="0">
      <w:start w:val="1"/>
      <w:numFmt w:val="decimal"/>
      <w:pStyle w:val="TabbedL1"/>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09F63F8"/>
    <w:multiLevelType w:val="multilevel"/>
    <w:tmpl w:val="9CDC5294"/>
    <w:lvl w:ilvl="0">
      <w:start w:val="1"/>
      <w:numFmt w:val="decimal"/>
      <w:lvlRestart w:val="0"/>
      <w:lvlText w:val="%1."/>
      <w:lvlJc w:val="left"/>
      <w:pPr>
        <w:tabs>
          <w:tab w:val="num" w:pos="1440"/>
        </w:tabs>
        <w:ind w:firstLine="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1"/>
  </w:num>
  <w:num w:numId="25">
    <w:abstractNumId w:val="10"/>
  </w:num>
  <w:num w:numId="26">
    <w:abstractNumId w:val="10"/>
  </w:num>
  <w:num w:numId="27">
    <w:abstractNumId w:val="10"/>
  </w:num>
  <w:num w:numId="28">
    <w:abstractNumId w:val="12"/>
  </w:num>
  <w:num w:numId="29">
    <w:abstractNumId w:val="13"/>
  </w:num>
  <w:num w:numId="30">
    <w:abstractNumId w:val="13"/>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railerType" w:val="102"/>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Fixed_MacPacVersion" w:val="9.0"/>
    <w:docVar w:name="zzmpLTFontsClean" w:val="True"/>
  </w:docVars>
  <w:rsids>
    <w:rsidRoot w:val="00DF0D71"/>
    <w:rsid w:val="00003AAD"/>
    <w:rsid w:val="00035F5A"/>
    <w:rsid w:val="000A1BB9"/>
    <w:rsid w:val="00231465"/>
    <w:rsid w:val="003835FF"/>
    <w:rsid w:val="004624A3"/>
    <w:rsid w:val="005812D3"/>
    <w:rsid w:val="00676907"/>
    <w:rsid w:val="006D311A"/>
    <w:rsid w:val="00754B88"/>
    <w:rsid w:val="00795CB2"/>
    <w:rsid w:val="007B6E3E"/>
    <w:rsid w:val="00B5460B"/>
    <w:rsid w:val="00CC2654"/>
    <w:rsid w:val="00D93EA3"/>
    <w:rsid w:val="00DF0D71"/>
    <w:rsid w:val="00F0702D"/>
    <w:rsid w:val="00F12F84"/>
    <w:rsid w:val="00F57E80"/>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85E1DA4A-3D73-4314-A9F6-A18EA1A3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character" w:customStyle="1" w:styleId="zzmpTrailerItem">
    <w:name w:val="zzmpTrailerItem"/>
    <w:basedOn w:val="DefaultParagraphFont"/>
    <w:uiPriority w:val="99"/>
    <w:rPr>
      <w:rFonts w:ascii="Times New Roman" w:hAnsi="Times New Roman" w:cs="Times New Roman"/>
      <w:noProof/>
      <w:color w:val="auto"/>
      <w:spacing w:val="0"/>
      <w:position w:val="0"/>
      <w:sz w:val="16"/>
      <w:szCs w:val="16"/>
      <w:u w:val="none"/>
      <w:effect w:val="none"/>
      <w:vertAlign w:val="baseline"/>
    </w:rPr>
  </w:style>
  <w:style w:type="paragraph" w:customStyle="1" w:styleId="O-BodyText">
    <w:name w:val="O-Body Text ()"/>
    <w:aliases w:val="1Body,s1"/>
    <w:basedOn w:val="Normal"/>
    <w:link w:val="O-BodyTextChar"/>
    <w:qFormat/>
    <w:pPr>
      <w:spacing w:after="240" w:line="288" w:lineRule="auto"/>
    </w:pPr>
    <w:rPr>
      <w:rFonts w:ascii="Arial" w:hAnsi="Arial"/>
      <w:sz w:val="20"/>
      <w:szCs w:val="20"/>
    </w:rPr>
  </w:style>
  <w:style w:type="character" w:customStyle="1" w:styleId="O-BodyTextChar">
    <w:name w:val="O-Body Text () Char"/>
    <w:aliases w:val="1Body Char,s1 Char"/>
    <w:basedOn w:val="DefaultParagraphFont"/>
    <w:link w:val="O-BodyText"/>
    <w:rPr>
      <w:rFonts w:ascii="Arial" w:hAnsi="Arial"/>
      <w:sz w:val="20"/>
      <w:szCs w:val="20"/>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DS">
    <w:name w:val="O-Body Text (DS)"/>
    <w:aliases w:val="28"/>
    <w:basedOn w:val="Normal"/>
    <w:uiPriority w:val="99"/>
    <w:pPr>
      <w:spacing w:line="480" w:lineRule="auto"/>
    </w:pPr>
    <w:rPr>
      <w:szCs w:val="20"/>
    </w:r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odyText0">
    <w:name w:val="O-Body Text"/>
    <w:aliases w:val="S1"/>
    <w:basedOn w:val="Normal"/>
    <w:uiPriority w:val="99"/>
    <w:pPr>
      <w:spacing w:after="240"/>
    </w:pPr>
    <w:rPr>
      <w:szCs w:val="20"/>
    </w:rPr>
  </w:style>
  <w:style w:type="paragraph" w:customStyle="1" w:styleId="O-Bullet5">
    <w:name w:val="O-Bullet .5&quot;"/>
    <w:aliases w:val="s26"/>
    <w:basedOn w:val="Normal"/>
    <w:uiPriority w:val="99"/>
    <w:pPr>
      <w:keepLines/>
      <w:numPr>
        <w:numId w:val="23"/>
      </w:numPr>
      <w:spacing w:after="240"/>
    </w:pPr>
    <w:rPr>
      <w:szCs w:val="20"/>
    </w:rPr>
  </w:style>
  <w:style w:type="paragraph" w:customStyle="1" w:styleId="O-bullet1">
    <w:name w:val="O-bullet 1&quot;"/>
    <w:aliases w:val="s27"/>
    <w:basedOn w:val="Normal"/>
    <w:uiPriority w:val="99"/>
    <w:pPr>
      <w:keepLines/>
      <w:numPr>
        <w:numId w:val="24"/>
      </w:numPr>
      <w:spacing w:after="240"/>
    </w:pPr>
    <w:rPr>
      <w:szCs w:val="20"/>
    </w:rPr>
  </w:style>
  <w:style w:type="paragraph" w:customStyle="1" w:styleId="O-Bullet">
    <w:name w:val="O-Bullet"/>
    <w:aliases w:val="S4"/>
    <w:basedOn w:val="Normal"/>
    <w:uiPriority w:val="99"/>
    <w:pPr>
      <w:numPr>
        <w:numId w:val="25"/>
      </w:numPr>
      <w:spacing w:after="24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Signature">
    <w:name w:val="O-Signature"/>
    <w:aliases w:val="S12"/>
    <w:basedOn w:val="Normal"/>
    <w:next w:val="Normal"/>
    <w:uiPriority w:val="99"/>
    <w:pPr>
      <w:keepNext/>
      <w:keepLines/>
      <w:spacing w:after="240"/>
      <w:ind w:left="5040"/>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O-Title Left (U)"/>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Hyperlink">
    <w:name w:val="Hyperlink"/>
    <w:basedOn w:val="DefaultParagraphFont"/>
    <w:uiPriority w:val="99"/>
    <w:rPr>
      <w:color w:val="0000FF" w:themeColor="hyperlink"/>
      <w:u w:val="single"/>
    </w:rPr>
  </w:style>
  <w:style w:type="paragraph" w:customStyle="1" w:styleId="BusinessSignature">
    <w:name w:val="Business Signature"/>
    <w:basedOn w:val="Normal"/>
    <w:uiPriority w:val="99"/>
    <w:pPr>
      <w:tabs>
        <w:tab w:val="left" w:pos="403"/>
        <w:tab w:val="right" w:pos="4320"/>
      </w:tabs>
    </w:pPr>
    <w:rPr>
      <w:szCs w:val="20"/>
    </w:rPr>
  </w:style>
  <w:style w:type="character" w:customStyle="1" w:styleId="O-TITLECENTEREDBChar">
    <w:name w:val="O-TITLE CENTERED (B) Char"/>
    <w:aliases w:val="S10 Char"/>
    <w:basedOn w:val="DefaultParagraphFont"/>
    <w:uiPriority w:val="99"/>
    <w:locked/>
    <w:rPr>
      <w:rFonts w:hAnsi="Times New Roman Bold" w:cs="Times New Roman"/>
      <w:b/>
      <w:caps/>
      <w:sz w:val="24"/>
      <w:lang w:val="en-US" w:eastAsia="en-US" w:bidi="ar-SA"/>
    </w:rPr>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character" w:customStyle="1" w:styleId="O-SignatureChar">
    <w:name w:val="O-Signature Char"/>
    <w:aliases w:val="S12 Char"/>
    <w:basedOn w:val="DefaultParagraphFont"/>
    <w:uiPriority w:val="99"/>
    <w:locked/>
    <w:rPr>
      <w:rFonts w:cs="Times New Roman"/>
      <w:sz w:val="20"/>
      <w:szCs w:val="20"/>
    </w:rPr>
  </w:style>
  <w:style w:type="paragraph" w:customStyle="1" w:styleId="TabbedL1">
    <w:name w:val="Tabbed_L1"/>
    <w:basedOn w:val="Normal"/>
    <w:next w:val="Normal"/>
    <w:uiPriority w:val="99"/>
    <w:pPr>
      <w:numPr>
        <w:numId w:val="29"/>
      </w:numPr>
      <w:spacing w:after="240"/>
      <w:outlineLvl w:val="0"/>
    </w:pPr>
    <w:rPr>
      <w:szCs w:val="20"/>
    </w:rPr>
  </w:style>
  <w:style w:type="paragraph" w:customStyle="1" w:styleId="TabbedL2">
    <w:name w:val="Tabbed_L2"/>
    <w:basedOn w:val="TabbedL1"/>
    <w:next w:val="Normal"/>
    <w:uiPriority w:val="99"/>
    <w:pPr>
      <w:numPr>
        <w:ilvl w:val="1"/>
      </w:numPr>
      <w:outlineLvl w:val="1"/>
    </w:pPr>
  </w:style>
  <w:style w:type="paragraph" w:customStyle="1" w:styleId="TabbedL3">
    <w:name w:val="Tabbed_L3"/>
    <w:basedOn w:val="TabbedL2"/>
    <w:next w:val="Normal"/>
    <w:uiPriority w:val="99"/>
    <w:pPr>
      <w:numPr>
        <w:ilvl w:val="2"/>
      </w:numPr>
      <w:outlineLvl w:val="2"/>
    </w:pPr>
  </w:style>
  <w:style w:type="paragraph" w:customStyle="1" w:styleId="TabbedL4">
    <w:name w:val="Tabbed_L4"/>
    <w:basedOn w:val="TabbedL3"/>
    <w:next w:val="Normal"/>
    <w:uiPriority w:val="99"/>
    <w:pPr>
      <w:numPr>
        <w:ilvl w:val="3"/>
      </w:numPr>
      <w:outlineLvl w:val="3"/>
    </w:pPr>
  </w:style>
  <w:style w:type="paragraph" w:customStyle="1" w:styleId="TabbedL5">
    <w:name w:val="Tabbed_L5"/>
    <w:basedOn w:val="TabbedL4"/>
    <w:next w:val="Normal"/>
    <w:uiPriority w:val="99"/>
    <w:pPr>
      <w:numPr>
        <w:ilvl w:val="4"/>
      </w:numPr>
      <w:outlineLvl w:val="4"/>
    </w:pPr>
  </w:style>
  <w:style w:type="paragraph" w:customStyle="1" w:styleId="TabbedL6">
    <w:name w:val="Tabbed_L6"/>
    <w:basedOn w:val="TabbedL5"/>
    <w:next w:val="Normal"/>
    <w:uiPriority w:val="99"/>
    <w:pPr>
      <w:numPr>
        <w:ilvl w:val="5"/>
      </w:numPr>
      <w:outlineLvl w:val="5"/>
    </w:pPr>
  </w:style>
  <w:style w:type="paragraph" w:customStyle="1" w:styleId="TabbedL7">
    <w:name w:val="Tabbed_L7"/>
    <w:basedOn w:val="TabbedL6"/>
    <w:next w:val="Normal"/>
    <w:uiPriority w:val="99"/>
    <w:pPr>
      <w:numPr>
        <w:ilvl w:val="6"/>
      </w:numPr>
      <w:outlineLvl w:val="6"/>
    </w:pPr>
  </w:style>
  <w:style w:type="paragraph" w:customStyle="1" w:styleId="TabbedL8">
    <w:name w:val="Tabbed_L8"/>
    <w:basedOn w:val="TabbedL7"/>
    <w:next w:val="Normal"/>
    <w:uiPriority w:val="99"/>
    <w:pPr>
      <w:numPr>
        <w:ilvl w:val="7"/>
      </w:numPr>
      <w:outlineLvl w:val="7"/>
    </w:pPr>
  </w:style>
  <w:style w:type="paragraph" w:customStyle="1" w:styleId="TabbedL9">
    <w:name w:val="Tabbed_L9"/>
    <w:basedOn w:val="TabbedL8"/>
    <w:next w:val="Normal"/>
    <w:uiPriority w:val="99"/>
    <w:pPr>
      <w:numPr>
        <w:ilvl w:val="8"/>
      </w:numPr>
      <w:outlineLvl w:val="8"/>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rick.com/Terms-of-Use-Agre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00DFA00-92F9-43A0-A15D-7462457B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Template>
  <TotalTime>0</TotalTime>
  <Pages>7</Pages>
  <Words>2524</Words>
  <Characters>13844</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Stripe Atlas Advisor Agreement</vt:lpstr>
    </vt:vector>
  </TitlesOfParts>
  <Company>The Sackett Group, Inc.</Company>
  <LinksUpToDate>false</LinksUpToDate>
  <CharactersWithSpaces>16336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Stripe Atlas Advisor Agreement</dc:title>
  <dc:subject>
  </dc:subject>
  <dc:creator>Porter, Scott M.</dc:creator>
  <cp:keywords>
  </cp:keywords>
  <dc:description>Stripe Atlas Advisor Agreement</dc:description>
  <cp:lastModifiedBy>Porter, Scott M.</cp:lastModifiedBy>
  <cp:revision>2</cp:revision>
  <dcterms:created xsi:type="dcterms:W3CDTF">2017-03-22T22:32:00Z</dcterms:created>
  <dcterms:modified xsi:type="dcterms:W3CDTF">2017-03-22T22:32:00Z</dcterms:modified>
</cp:coreProperties>
</file>